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>
        <w:rPr>
          <w:rFonts w:ascii="Arial" w:hAnsi="Arial" w:cs="Arial"/>
          <w:b/>
          <w:sz w:val="24"/>
          <w:lang w:val="en-US"/>
        </w:rPr>
        <w:t>3GPP TSG-RAN WG5 #92-e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>R5-215565</w:t>
      </w:r>
      <w:r>
        <w:rPr>
          <w:rFonts w:ascii="Arial" w:hAnsi="Arial" w:cs="Arial"/>
          <w:b/>
          <w:sz w:val="24"/>
          <w:highlight w:val="magenta"/>
          <w:lang w:val="en-US"/>
        </w:rPr>
        <w:t>r4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>
        <w:rPr>
          <w:rFonts w:ascii="Arial" w:hAnsi="Arial" w:cs="Arial"/>
          <w:b/>
          <w:sz w:val="24"/>
        </w:rPr>
        <w:t>Electronic Meeting, 16th – 27th August 2021</w:t>
      </w:r>
    </w:p>
    <w:p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5.3.2.17 </w:t>
      </w: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Qualcomm Austria RFFE GmbH</w:t>
      </w:r>
    </w:p>
    <w:p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Discussion of test applicability for different NS values</w:t>
      </w:r>
    </w:p>
    <w:p>
      <w:pPr>
        <w:tabs>
          <w:tab w:val="left" w:pos="21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Endorsement</w:t>
      </w: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bookmarkEnd w:id="1"/>
    <w:p>
      <w:pPr>
        <w:pStyle w:val="Heading1"/>
        <w:ind w:left="567" w:hanging="567"/>
      </w:pPr>
      <w:r>
        <w:t>1.</w:t>
      </w:r>
      <w:r>
        <w:tab/>
        <w:t>Introduction</w:t>
      </w:r>
    </w:p>
    <w:p>
      <w:pPr>
        <w:ind w:left="48"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 xml:space="preserve">UE additional maximum output power reduction (A_MPR) and additional spurious emissions for different NS values were introduced in different releases of TS 38.101-1 [1, 2]  </w:t>
      </w:r>
    </w:p>
    <w:p>
      <w:pPr>
        <w:ind w:left="48"/>
        <w:rPr>
          <w:lang w:val="en-US" w:eastAsia="zh-CN"/>
        </w:rPr>
      </w:pPr>
      <w:r>
        <w:rPr>
          <w:rFonts w:eastAsia="Batang"/>
          <w:sz w:val="22"/>
          <w:szCs w:val="22"/>
        </w:rPr>
        <w:t xml:space="preserve">The test applicability for different NS values for UE additional maximum output power reduction (A_MPR) and additional spurious emissions in TS 38.521-1 are not clearly noted and misaligned with core requirement.  In both cases, it is not clear which NS value applies to UE release 15 and forward, or </w:t>
      </w:r>
      <w:r>
        <w:rPr>
          <w:lang w:val="en-US" w:eastAsia="zh-CN"/>
        </w:rPr>
        <w:t>UE release 16 and forward. This leads to different interpretations by different UE vendors.</w:t>
      </w:r>
    </w:p>
    <w:p>
      <w:pPr>
        <w:ind w:left="48"/>
        <w:rPr>
          <w:lang w:val="en-US" w:eastAsia="zh-CN"/>
        </w:rPr>
      </w:pPr>
      <w:r>
        <w:rPr>
          <w:lang w:val="en-US" w:eastAsia="zh-CN"/>
        </w:rPr>
        <w:t>In this discussion paper, the current discrepancies between core requirement and latest TS 38.521 are discussed and a way forward is proposed.</w:t>
      </w:r>
    </w:p>
    <w:p>
      <w:pPr>
        <w:ind w:left="48"/>
        <w:rPr>
          <w:sz w:val="22"/>
          <w:szCs w:val="22"/>
        </w:rPr>
      </w:pPr>
    </w:p>
    <w:p>
      <w:pPr>
        <w:pStyle w:val="Heading1"/>
        <w:ind w:left="567" w:hanging="567"/>
      </w:pPr>
      <w:r>
        <w:t xml:space="preserve">2. </w:t>
      </w:r>
      <w:r>
        <w:tab/>
        <w:t>Discussion</w:t>
      </w:r>
    </w:p>
    <w:p/>
    <w:p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>
        <w:rPr>
          <w:rFonts w:eastAsia="Batang"/>
          <w:sz w:val="28"/>
          <w:szCs w:val="28"/>
        </w:rPr>
        <w:t xml:space="preserve">UE additional maximum output power reduction (A_MPR) core requirement 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From TS 38.101-1 V15.4.0 [1] and TS 38.101-1 V16.8.0 [2] clause 6.2.3, minimum requirement for different NS values is defined.  A-MPR for some NS values are only specified in release 16 core requirement.  NS values defined by both Release 15, Release 16, and Release 17 are listed in Table 2.1-1.  Additional NS values specified by Release 16 and Release 17 are listed in Table 2.1-2.  A “Yes” indicates NS value is available for that release listed. A “No” indicates NS value is not defined for that release listed. </w:t>
      </w:r>
    </w:p>
    <w:p>
      <w:pPr>
        <w:rPr>
          <w:sz w:val="22"/>
          <w:szCs w:val="22"/>
        </w:rPr>
      </w:pPr>
    </w:p>
    <w:p>
      <w:pPr>
        <w:pStyle w:val="TAH"/>
      </w:pPr>
      <w:r>
        <w:t>Table 2.1-1 NS-values defined by Release 15, 16 and 17</w:t>
      </w:r>
    </w:p>
    <w:tbl>
      <w:tblPr>
        <w:tblW w:w="10485" w:type="dxa"/>
        <w:jc w:val="center"/>
        <w:tblLook w:val="04A0" w:firstRow="1" w:lastRow="0" w:firstColumn="1" w:lastColumn="0" w:noHBand="0" w:noVBand="1"/>
      </w:tblPr>
      <w:tblGrid>
        <w:gridCol w:w="1075"/>
        <w:gridCol w:w="555"/>
        <w:gridCol w:w="555"/>
        <w:gridCol w:w="610"/>
        <w:gridCol w:w="580"/>
        <w:gridCol w:w="581"/>
        <w:gridCol w:w="610"/>
        <w:gridCol w:w="555"/>
        <w:gridCol w:w="555"/>
        <w:gridCol w:w="555"/>
        <w:gridCol w:w="555"/>
        <w:gridCol w:w="555"/>
        <w:gridCol w:w="610"/>
        <w:gridCol w:w="555"/>
        <w:gridCol w:w="1979"/>
      </w:tblGrid>
      <w:tr>
        <w:trPr>
          <w:trHeight w:val="61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NS_Value</w:t>
            </w:r>
            <w:proofErr w:type="spellEnd"/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 xml:space="preserve">05, </w:t>
            </w: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br/>
              <w:t>05U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 xml:space="preserve">43, </w:t>
            </w: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br/>
              <w:t>43U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 xml:space="preserve">03, </w:t>
            </w: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br/>
              <w:t>03U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100</w:t>
            </w:r>
          </w:p>
        </w:tc>
      </w:tr>
      <w:tr>
        <w:trPr>
          <w:trHeight w:val="45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NR band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n41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n1, n65, n84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n51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n8, n81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n2, n25, n66, n86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n74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n50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n28, n83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n39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n1, n2, n3, n5, n8,</w:t>
            </w:r>
          </w:p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n18, n25, n26, n65,</w:t>
            </w:r>
          </w:p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n66, n80, n81, n84,</w:t>
            </w:r>
          </w:p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n86, n89</w:t>
            </w:r>
          </w:p>
        </w:tc>
      </w:tr>
      <w:tr>
        <w:trPr>
          <w:trHeight w:val="45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  <w:tr>
        <w:trPr>
          <w:trHeight w:val="555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  <w:tr>
        <w:trPr>
          <w:trHeight w:val="55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17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</w:tbl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pStyle w:val="TAH"/>
      </w:pPr>
      <w:r>
        <w:t>Table 2.1-2 NS-values defined by Release 16 and 17 only</w:t>
      </w:r>
    </w:p>
    <w:tbl>
      <w:tblPr>
        <w:tblW w:w="9935" w:type="dxa"/>
        <w:jc w:val="center"/>
        <w:tblLook w:val="04A0" w:firstRow="1" w:lastRow="0" w:firstColumn="1" w:lastColumn="0" w:noHBand="0" w:noVBand="1"/>
      </w:tblPr>
      <w:tblGrid>
        <w:gridCol w:w="1093"/>
        <w:gridCol w:w="528"/>
        <w:gridCol w:w="529"/>
        <w:gridCol w:w="529"/>
        <w:gridCol w:w="529"/>
        <w:gridCol w:w="563"/>
        <w:gridCol w:w="563"/>
        <w:gridCol w:w="563"/>
        <w:gridCol w:w="563"/>
        <w:gridCol w:w="563"/>
        <w:gridCol w:w="563"/>
        <w:gridCol w:w="563"/>
        <w:gridCol w:w="529"/>
        <w:gridCol w:w="529"/>
        <w:gridCol w:w="563"/>
        <w:gridCol w:w="555"/>
        <w:gridCol w:w="610"/>
      </w:tblGrid>
      <w:tr>
        <w:trPr>
          <w:trHeight w:val="646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NS_Value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49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51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07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56</w:t>
            </w:r>
          </w:p>
        </w:tc>
      </w:tr>
      <w:tr>
        <w:trPr>
          <w:trHeight w:val="472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NR band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ind w:right="-93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n65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n48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highlight w:val="yellow"/>
                <w:lang w:val="en-US" w:eastAsia="zh-CN"/>
              </w:rPr>
            </w:pPr>
            <w:r>
              <w:rPr>
                <w:color w:val="000000"/>
                <w:highlight w:val="yellow"/>
              </w:rPr>
              <w:t>n41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n38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n53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highlight w:val="yellow"/>
              </w:rPr>
              <w:t>n1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color w:val="000000"/>
              </w:rPr>
              <w:t>n65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n13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n24, n99</w:t>
            </w:r>
          </w:p>
        </w:tc>
      </w:tr>
      <w:tr>
        <w:trPr>
          <w:trHeight w:val="472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</w:tr>
      <w:tr>
        <w:trPr>
          <w:trHeight w:val="583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No</w:t>
            </w:r>
          </w:p>
        </w:tc>
      </w:tr>
      <w:tr>
        <w:trPr>
          <w:trHeight w:val="583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Rel 17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val="en-US" w:eastAsia="zh-CN"/>
              </w:rPr>
              <w:t>Yes</w:t>
            </w:r>
          </w:p>
        </w:tc>
      </w:tr>
    </w:tbl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Clearly, all NS values listed in Table 2.1-1 shall apply to all types of NR UE release 15 and forward. 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NR band </w:t>
      </w:r>
      <w:r>
        <w:rPr>
          <w:sz w:val="22"/>
          <w:szCs w:val="22"/>
          <w:highlight w:val="yellow"/>
        </w:rPr>
        <w:t>highlighted</w:t>
      </w:r>
      <w:r>
        <w:rPr>
          <w:sz w:val="22"/>
          <w:szCs w:val="22"/>
        </w:rPr>
        <w:t xml:space="preserve"> in Table 2.1-2 are Release 15 bands, but their NS values (A-MPR) are </w:t>
      </w:r>
      <w:r>
        <w:rPr>
          <w:b/>
          <w:bCs/>
          <w:i/>
          <w:iCs/>
          <w:sz w:val="22"/>
          <w:szCs w:val="22"/>
        </w:rPr>
        <w:t>only</w:t>
      </w:r>
      <w:r>
        <w:rPr>
          <w:sz w:val="22"/>
          <w:szCs w:val="22"/>
        </w:rPr>
        <w:t xml:space="preserve"> available and defined in Rel-16 of TS 38101-1 [2].   Therefore, these NS values shall only apply to NR UE release 16 and forward.</w:t>
      </w:r>
    </w:p>
    <w:p>
      <w:pPr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Further more</w:t>
      </w:r>
      <w:proofErr w:type="spellEnd"/>
      <w:proofErr w:type="gramEnd"/>
      <w:r>
        <w:rPr>
          <w:sz w:val="22"/>
          <w:szCs w:val="22"/>
        </w:rPr>
        <w:t xml:space="preserve">, these new A-MPR requirement (for Rel-15 band) were introduced in Rel-16 apply to specific channel bandwidths which are also introduced in Rel-16.  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In summary:</w:t>
      </w:r>
    </w:p>
    <w:p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lang w:val="en-CA"/>
        </w:rPr>
      </w:pPr>
      <w:r>
        <w:rPr>
          <w:rFonts w:ascii="Times New Roman" w:eastAsia="Times New Roman" w:hAnsi="Times New Roman" w:cs="Times New Roman"/>
          <w:lang w:val="en-CA"/>
        </w:rPr>
        <w:t>Since NR bands are release agnostic, if the Rel-15 UE support a Rel-16 band then the Rel-16 NS-value also need to be supported.</w:t>
      </w:r>
    </w:p>
    <w:p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lang w:val="en-CA"/>
        </w:rPr>
      </w:pPr>
      <w:r>
        <w:rPr>
          <w:rFonts w:ascii="Times New Roman" w:eastAsia="Times New Roman" w:hAnsi="Times New Roman" w:cs="Times New Roman"/>
          <w:lang w:val="en-CA"/>
        </w:rPr>
        <w:t xml:space="preserve">For NS values for </w:t>
      </w:r>
      <w:r>
        <w:rPr>
          <w:rFonts w:ascii="Times New Roman" w:eastAsia="Times New Roman" w:hAnsi="Times New Roman" w:cs="Times New Roman"/>
          <w:color w:val="FF0000"/>
        </w:rPr>
        <w:t>Rel-15</w:t>
      </w:r>
      <w:r>
        <w:rPr>
          <w:rFonts w:ascii="Times New Roman" w:eastAsia="Times New Roman" w:hAnsi="Times New Roman" w:cs="Times New Roman"/>
          <w:lang w:val="en-CA"/>
        </w:rPr>
        <w:t xml:space="preserve"> NR bands n7, n41, n38 and n1, the NS values were only added in Rel-16 of 38.101-1 spec.  Rel-15 UE doesn’t have to support these new NS values. </w:t>
      </w:r>
    </w:p>
    <w:p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lang w:val="en-CA"/>
        </w:rPr>
      </w:pPr>
      <w:r>
        <w:rPr>
          <w:rFonts w:ascii="Times New Roman" w:eastAsia="Times New Roman" w:hAnsi="Times New Roman" w:cs="Times New Roman"/>
          <w:highlight w:val="cyan"/>
          <w:lang w:val="en-CA"/>
        </w:rPr>
        <w:t xml:space="preserve">If a Rel-15 UE supports </w:t>
      </w:r>
      <w:r>
        <w:rPr>
          <w:highlight w:val="cyan"/>
        </w:rPr>
        <w:t>channel bandwidths</w:t>
      </w:r>
      <w:r>
        <w:rPr>
          <w:rFonts w:ascii="Times New Roman" w:eastAsia="Times New Roman" w:hAnsi="Times New Roman" w:cs="Times New Roman"/>
          <w:highlight w:val="cyan"/>
          <w:lang w:val="en-CA"/>
        </w:rPr>
        <w:t xml:space="preserve"> </w:t>
      </w:r>
      <w:r>
        <w:rPr>
          <w:highlight w:val="cyan"/>
        </w:rPr>
        <w:t xml:space="preserve">introduced in </w:t>
      </w:r>
      <w:r>
        <w:rPr>
          <w:rFonts w:ascii="Times New Roman" w:eastAsia="Times New Roman" w:hAnsi="Times New Roman" w:cs="Times New Roman"/>
          <w:highlight w:val="cyan"/>
          <w:lang w:val="en-CA"/>
        </w:rPr>
        <w:t xml:space="preserve">Rel-16, it shall follow the Rel-16 requirements for the </w:t>
      </w:r>
      <w:r>
        <w:rPr>
          <w:highlight w:val="cyan"/>
        </w:rPr>
        <w:t>channel bandwidths</w:t>
      </w:r>
      <w:r>
        <w:rPr>
          <w:rFonts w:ascii="Times New Roman" w:eastAsia="Times New Roman" w:hAnsi="Times New Roman" w:cs="Times New Roman"/>
          <w:highlight w:val="cyan"/>
          <w:lang w:val="en-CA"/>
        </w:rPr>
        <w:t xml:space="preserve"> supported</w:t>
      </w:r>
      <w:r>
        <w:rPr>
          <w:rFonts w:ascii="Times New Roman" w:eastAsia="Times New Roman" w:hAnsi="Times New Roman" w:cs="Times New Roman"/>
          <w:lang w:val="en-CA"/>
        </w:rPr>
        <w:t>.</w:t>
      </w:r>
    </w:p>
    <w:p>
      <w:pPr>
        <w:rPr>
          <w:sz w:val="22"/>
          <w:szCs w:val="22"/>
          <w:lang w:val="en-CA"/>
        </w:rPr>
      </w:pPr>
    </w:p>
    <w:p>
      <w:pPr>
        <w:pStyle w:val="Heading2"/>
        <w:rPr>
          <w:sz w:val="28"/>
          <w:szCs w:val="28"/>
        </w:rPr>
      </w:pPr>
      <w:r>
        <w:rPr>
          <w:sz w:val="28"/>
          <w:szCs w:val="28"/>
        </w:rPr>
        <w:t>2.2 UE additional maximum output power reduction in TS 38.521-1</w:t>
      </w:r>
    </w:p>
    <w:p>
      <w:pPr>
        <w:rPr>
          <w:rFonts w:ascii="Arial" w:hAnsi="Arial" w:cs="Arial"/>
          <w:sz w:val="22"/>
          <w:szCs w:val="22"/>
          <w:lang w:val="en-US" w:eastAsia="zh-CN"/>
        </w:rPr>
      </w:pPr>
      <w:r>
        <w:rPr>
          <w:sz w:val="22"/>
          <w:szCs w:val="22"/>
        </w:rPr>
        <w:t xml:space="preserve">In current TS 38.521-1 [3] clause 6.2.3.2 </w:t>
      </w:r>
      <w:r>
        <w:rPr>
          <w:sz w:val="22"/>
          <w:szCs w:val="22"/>
          <w:lang w:val="en-US" w:eastAsia="zh-CN"/>
        </w:rPr>
        <w:t xml:space="preserve">Test applicability, the following statement applies for </w:t>
      </w:r>
      <w:proofErr w:type="spellStart"/>
      <w:r>
        <w:rPr>
          <w:sz w:val="22"/>
          <w:szCs w:val="22"/>
          <w:lang w:val="en-US" w:eastAsia="zh-CN"/>
        </w:rPr>
        <w:t>tet</w:t>
      </w:r>
      <w:proofErr w:type="spellEnd"/>
      <w:r>
        <w:rPr>
          <w:sz w:val="22"/>
          <w:szCs w:val="22"/>
          <w:lang w:val="en-US" w:eastAsia="zh-CN"/>
        </w:rPr>
        <w:t xml:space="preserve"> 6.5.3.3</w:t>
      </w:r>
    </w:p>
    <w:p>
      <w:pPr>
        <w:autoSpaceDE w:val="0"/>
        <w:autoSpaceDN w:val="0"/>
        <w:adjustRightInd w:val="0"/>
        <w:spacing w:after="0"/>
        <w:ind w:left="284"/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The requirements of this test apply in test case 6.5.3.3 Additional Spurious Emissions for network </w:t>
      </w:r>
      <w:proofErr w:type="spellStart"/>
      <w:r>
        <w:rPr>
          <w:sz w:val="22"/>
          <w:szCs w:val="22"/>
          <w:lang w:val="en-US" w:eastAsia="zh-CN"/>
        </w:rPr>
        <w:t>signalling</w:t>
      </w:r>
      <w:proofErr w:type="spellEnd"/>
      <w:r>
        <w:rPr>
          <w:sz w:val="22"/>
          <w:szCs w:val="22"/>
          <w:lang w:val="en-US" w:eastAsia="zh-CN"/>
        </w:rPr>
        <w:t xml:space="preserve"> values NS_04, NS_05, NS_05U, NS_12, NS_13, NS_14, NS_15, NS_17, NS_18, NS_21, NS_37, NS_38, NS_39, NS_40, NS_41, NS_42, NS_43, NS_43U, </w:t>
      </w:r>
      <w:r>
        <w:rPr>
          <w:sz w:val="22"/>
          <w:szCs w:val="22"/>
          <w:highlight w:val="yellow"/>
          <w:lang w:val="en-US" w:eastAsia="zh-CN"/>
        </w:rPr>
        <w:t>NS_44</w:t>
      </w:r>
      <w:r>
        <w:rPr>
          <w:sz w:val="22"/>
          <w:szCs w:val="22"/>
          <w:lang w:val="en-US" w:eastAsia="zh-CN"/>
        </w:rPr>
        <w:t xml:space="preserve">, NS_45, </w:t>
      </w:r>
      <w:r>
        <w:rPr>
          <w:sz w:val="22"/>
          <w:szCs w:val="22"/>
          <w:highlight w:val="yellow"/>
          <w:lang w:val="en-US" w:eastAsia="zh-CN"/>
        </w:rPr>
        <w:t>NS_48, NS_49</w:t>
      </w:r>
      <w:r>
        <w:rPr>
          <w:sz w:val="22"/>
          <w:szCs w:val="22"/>
          <w:lang w:val="en-US" w:eastAsia="zh-CN"/>
        </w:rPr>
        <w:t xml:space="preserve"> and NS_50 to all types of NR Power Class 2 and 3 UE release 15 and forward.</w:t>
      </w: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From the comparison table above, A-MPR for </w:t>
      </w:r>
      <w:r>
        <w:rPr>
          <w:i/>
          <w:iCs/>
          <w:color w:val="FF0000"/>
          <w:sz w:val="22"/>
          <w:szCs w:val="22"/>
          <w:lang w:val="en-US" w:eastAsia="zh-CN"/>
        </w:rPr>
        <w:t xml:space="preserve">NS_46, NS_47, </w:t>
      </w:r>
      <w:r>
        <w:rPr>
          <w:i/>
          <w:iCs/>
          <w:sz w:val="22"/>
          <w:szCs w:val="22"/>
          <w:lang w:val="en-US" w:eastAsia="zh-CN"/>
        </w:rPr>
        <w:t xml:space="preserve">NS_44, NS_48, and NS_49 </w:t>
      </w:r>
      <w:r>
        <w:rPr>
          <w:sz w:val="22"/>
          <w:szCs w:val="22"/>
        </w:rPr>
        <w:t xml:space="preserve">are only defined by Release 16 core requirement even the corresponding bands are release 15 bands.  Therefore, for a Rel-15 complied UE, these NS values don’t apply. </w:t>
      </w: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Clearly, the test applicability for test case 6.5.3.3 Additional Spurious Emissions is not fully aligned with core requirement, and this leads different implementations by different UE vendors.</w:t>
      </w:r>
    </w:p>
    <w:p>
      <w:pPr>
        <w:autoSpaceDE w:val="0"/>
        <w:autoSpaceDN w:val="0"/>
        <w:adjustRightInd w:val="0"/>
        <w:spacing w:after="0"/>
        <w:rPr>
          <w:sz w:val="22"/>
          <w:szCs w:val="22"/>
        </w:rPr>
      </w:pPr>
    </w:p>
    <w:p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In order to</w:t>
      </w:r>
      <w:proofErr w:type="gramEnd"/>
      <w:r>
        <w:rPr>
          <w:sz w:val="22"/>
          <w:szCs w:val="22"/>
        </w:rPr>
        <w:t xml:space="preserve"> avoid this ambiguity, the following changes are proposed based on email discussion   </w:t>
      </w:r>
    </w:p>
    <w:p>
      <w:pPr>
        <w:rPr>
          <w:b/>
          <w:bCs/>
          <w:sz w:val="22"/>
          <w:szCs w:val="22"/>
        </w:rPr>
      </w:pPr>
      <w:bookmarkStart w:id="3" w:name="_Hlk80781024"/>
      <w:r>
        <w:rPr>
          <w:b/>
          <w:bCs/>
          <w:sz w:val="22"/>
          <w:szCs w:val="22"/>
        </w:rPr>
        <w:t>Proposal 1a: Add an Editor’s note to A-MPR test case</w:t>
      </w:r>
    </w:p>
    <w:p>
      <w:pPr>
        <w:autoSpaceDE w:val="0"/>
        <w:autoSpaceDN w:val="0"/>
        <w:adjustRightInd w:val="0"/>
        <w:spacing w:after="0"/>
        <w:ind w:left="284"/>
        <w:rPr>
          <w:b/>
          <w:bCs/>
          <w:i/>
          <w:iCs/>
          <w:lang w:eastAsia="zh-CN"/>
        </w:rPr>
      </w:pPr>
      <w:r>
        <w:rPr>
          <w:highlight w:val="cyan"/>
        </w:rPr>
        <w:lastRenderedPageBreak/>
        <w:t xml:space="preserve">The requirements of this test apply in test case 6.5.3.3 Additional Spurious Emissions for network signalling values NS_44, NS_46, NS_47, NS_48, and NS_49 to all types of NR Power Class 2 and 3 </w:t>
      </w:r>
      <w:r>
        <w:rPr>
          <w:highlight w:val="magenta"/>
        </w:rPr>
        <w:t xml:space="preserve">UE </w:t>
      </w:r>
      <w:r>
        <w:rPr>
          <w:highlight w:val="magenta"/>
        </w:rPr>
        <w:t>release 16 forward</w:t>
      </w:r>
      <w:r>
        <w:rPr>
          <w:highlight w:val="magenta"/>
        </w:rPr>
        <w:t>, and UE release 15 if the corresponding channel bandwidths are supported.</w:t>
      </w:r>
      <w:r>
        <w:t xml:space="preserve"> </w:t>
      </w:r>
    </w:p>
    <w:p>
      <w:pPr>
        <w:rPr>
          <w:i/>
          <w:iCs/>
          <w:lang w:eastAsia="zh-CN"/>
        </w:rPr>
      </w:pPr>
    </w:p>
    <w:p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</w:rPr>
        <w:t>Proposal 1</w:t>
      </w:r>
      <w:r>
        <w:rPr>
          <w:b/>
          <w:bCs/>
          <w:sz w:val="22"/>
          <w:szCs w:val="22"/>
        </w:rPr>
        <w:t>b</w:t>
      </w:r>
      <w:r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  <w:highlight w:val="magenta"/>
          <w:lang w:val="en-US"/>
        </w:rPr>
        <w:t>Added an Action Point</w:t>
      </w:r>
      <w:r>
        <w:rPr>
          <w:b/>
          <w:bCs/>
          <w:sz w:val="22"/>
          <w:szCs w:val="22"/>
          <w:highlight w:val="magenta"/>
          <w:lang w:val="en-US"/>
        </w:rPr>
        <w:t xml:space="preserve"> to address applicability spec changes</w:t>
      </w:r>
      <w:r>
        <w:rPr>
          <w:b/>
          <w:bCs/>
          <w:sz w:val="22"/>
          <w:szCs w:val="22"/>
          <w:lang w:val="en-US"/>
        </w:rPr>
        <w:t xml:space="preserve">. </w:t>
      </w:r>
    </w:p>
    <w:bookmarkEnd w:id="3"/>
    <w:p>
      <w:pPr>
        <w:rPr>
          <w:i/>
          <w:iCs/>
          <w:sz w:val="22"/>
          <w:szCs w:val="22"/>
          <w:lang w:val="en-US"/>
        </w:rPr>
      </w:pPr>
    </w:p>
    <w:p>
      <w:pPr>
        <w:pStyle w:val="Heading2"/>
        <w:rPr>
          <w:sz w:val="28"/>
          <w:szCs w:val="28"/>
        </w:rPr>
      </w:pPr>
      <w:r>
        <w:rPr>
          <w:sz w:val="28"/>
          <w:szCs w:val="28"/>
        </w:rPr>
        <w:t>2.3 UE Additional spurious emissions in TS 38.521-1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Similarly, the Test applicability for Additional spurious emissions in current TS 38.521-1 [3] clause 6.5.3.3 needs to be revised in the same manner.</w:t>
      </w:r>
    </w:p>
    <w:p>
      <w:bookmarkStart w:id="4" w:name="_Hlk80781364"/>
      <w:r>
        <w:rPr>
          <w:b/>
          <w:bCs/>
          <w:sz w:val="22"/>
          <w:szCs w:val="22"/>
        </w:rPr>
        <w:t xml:space="preserve">Proposal 2: </w:t>
      </w:r>
      <w:r>
        <w:rPr>
          <w:b/>
          <w:bCs/>
          <w:sz w:val="22"/>
          <w:szCs w:val="22"/>
        </w:rPr>
        <w:t xml:space="preserve">Add an Editor’s note </w:t>
      </w:r>
      <w:r>
        <w:rPr>
          <w:b/>
          <w:bCs/>
          <w:sz w:val="22"/>
          <w:szCs w:val="22"/>
        </w:rPr>
        <w:t xml:space="preserve">to </w:t>
      </w:r>
      <w:r>
        <w:rPr>
          <w:b/>
          <w:bCs/>
        </w:rPr>
        <w:t>Additional spurious emissions test</w:t>
      </w:r>
    </w:p>
    <w:p>
      <w:pPr>
        <w:ind w:left="568"/>
        <w:rPr>
          <w:lang w:val="en-US" w:eastAsia="zh-CN"/>
        </w:rPr>
      </w:pPr>
      <w:r>
        <w:rPr>
          <w:highlight w:val="magenta"/>
        </w:rPr>
        <w:t xml:space="preserve">The requirements of </w:t>
      </w:r>
      <w:r>
        <w:rPr>
          <w:highlight w:val="magenta"/>
        </w:rPr>
        <w:t>t</w:t>
      </w:r>
      <w:r>
        <w:rPr>
          <w:highlight w:val="magenta"/>
        </w:rPr>
        <w:t xml:space="preserve">his test case </w:t>
      </w:r>
      <w:r>
        <w:rPr>
          <w:highlight w:val="magenta"/>
        </w:rPr>
        <w:t>for</w:t>
      </w:r>
      <w:r>
        <w:rPr>
          <w:highlight w:val="magenta"/>
        </w:rPr>
        <w:t xml:space="preserve"> </w:t>
      </w:r>
      <w:r>
        <w:rPr>
          <w:highlight w:val="magenta"/>
        </w:rPr>
        <w:t xml:space="preserve">NS_44, NS_46, NS_47, NS_48, and NS_49 apply to all types of NR UE release 16 </w:t>
      </w:r>
      <w:r>
        <w:rPr>
          <w:highlight w:val="magenta"/>
        </w:rPr>
        <w:t>forward</w:t>
      </w:r>
      <w:r>
        <w:rPr>
          <w:highlight w:val="magenta"/>
        </w:rPr>
        <w:t>, and release 15 if the corresponding channel bandwidths are supported</w:t>
      </w:r>
      <w:r>
        <w:rPr>
          <w:highlight w:val="magenta"/>
          <w:lang w:val="en-US" w:eastAsia="zh-CN"/>
        </w:rPr>
        <w:t>.</w:t>
      </w:r>
    </w:p>
    <w:bookmarkEnd w:id="4"/>
    <w:p>
      <w:pPr>
        <w:ind w:left="1418" w:hanging="206"/>
        <w:rPr>
          <w:i/>
          <w:iCs/>
          <w:sz w:val="22"/>
          <w:szCs w:val="22"/>
          <w:lang w:val="en-US"/>
        </w:rPr>
      </w:pPr>
    </w:p>
    <w:bookmarkEnd w:id="2"/>
    <w:p>
      <w:pPr>
        <w:pStyle w:val="Heading1"/>
        <w:ind w:left="567" w:hanging="567"/>
      </w:pPr>
      <w:r>
        <w:t xml:space="preserve">3. </w:t>
      </w:r>
      <w:r>
        <w:tab/>
        <w:t>Conclusion</w:t>
      </w:r>
    </w:p>
    <w:p>
      <w:pPr>
        <w:rPr>
          <w:bCs/>
        </w:rPr>
      </w:pPr>
      <w:r>
        <w:rPr>
          <w:bCs/>
        </w:rPr>
        <w:t>Based on the discussion, the following modification of test applicability is proposed.</w:t>
      </w:r>
    </w:p>
    <w:p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1a: Add an Editor’s note to A-MPR test case</w:t>
      </w:r>
    </w:p>
    <w:p>
      <w:pPr>
        <w:autoSpaceDE w:val="0"/>
        <w:autoSpaceDN w:val="0"/>
        <w:adjustRightInd w:val="0"/>
        <w:spacing w:after="0"/>
        <w:ind w:left="284"/>
        <w:rPr>
          <w:b/>
          <w:bCs/>
          <w:i/>
          <w:iCs/>
          <w:lang w:eastAsia="zh-CN"/>
        </w:rPr>
      </w:pPr>
      <w:r>
        <w:t xml:space="preserve">The requirements of this test apply in test case 6.5.3.3 Additional Spurious Emissions for network signalling values NS_44, NS_46, NS_47, NS_48, and NS_49 to all types of NR Power Class 2 and 3 UE release 16 forward, and UE release 15 if the corresponding channel bandwidth are supported. </w:t>
      </w:r>
    </w:p>
    <w:p>
      <w:pPr>
        <w:rPr>
          <w:i/>
          <w:iCs/>
          <w:lang w:eastAsia="zh-CN"/>
        </w:rPr>
      </w:pPr>
    </w:p>
    <w:p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</w:rPr>
        <w:t xml:space="preserve">Proposal 1b: </w:t>
      </w:r>
      <w:r>
        <w:rPr>
          <w:b/>
          <w:bCs/>
          <w:sz w:val="22"/>
          <w:szCs w:val="22"/>
          <w:lang w:val="en-US"/>
        </w:rPr>
        <w:t xml:space="preserve">Added an Action Point to address applicability spec changes. </w:t>
      </w:r>
    </w:p>
    <w:p>
      <w:r>
        <w:rPr>
          <w:b/>
          <w:bCs/>
          <w:sz w:val="22"/>
          <w:szCs w:val="22"/>
        </w:rPr>
        <w:t xml:space="preserve">Proposal 2: Add an Editor’s note to </w:t>
      </w:r>
      <w:r>
        <w:rPr>
          <w:b/>
          <w:bCs/>
        </w:rPr>
        <w:t>Additional spurious emissions test</w:t>
      </w:r>
    </w:p>
    <w:p>
      <w:pPr>
        <w:spacing w:after="0"/>
        <w:ind w:firstLine="284"/>
        <w:rPr>
          <w:sz w:val="22"/>
          <w:szCs w:val="22"/>
        </w:rPr>
      </w:pPr>
      <w:r>
        <w:rPr>
          <w:b/>
          <w:bCs/>
          <w:sz w:val="22"/>
          <w:szCs w:val="22"/>
        </w:rPr>
        <w:t>Test applicability exceptions</w:t>
      </w:r>
      <w:r>
        <w:rPr>
          <w:sz w:val="22"/>
          <w:szCs w:val="22"/>
        </w:rPr>
        <w:t>:</w:t>
      </w:r>
    </w:p>
    <w:p>
      <w:pPr>
        <w:ind w:left="568"/>
        <w:rPr>
          <w:lang w:val="en-US" w:eastAsia="zh-CN"/>
        </w:rPr>
      </w:pPr>
      <w:r>
        <w:t>NS_44, NS_46, NS_47, NS_48, and NS_49 apply to all types of NR UE release 16 forward, and release 15 if the corresponding channel bandwidth are supported</w:t>
      </w:r>
      <w:r>
        <w:rPr>
          <w:lang w:val="en-US" w:eastAsia="zh-CN"/>
        </w:rPr>
        <w:t>.</w:t>
      </w:r>
    </w:p>
    <w:p>
      <w:pPr>
        <w:rPr>
          <w:i/>
          <w:iCs/>
          <w:sz w:val="22"/>
          <w:szCs w:val="22"/>
          <w:lang w:val="en-US"/>
        </w:rPr>
      </w:pPr>
    </w:p>
    <w:p>
      <w:pPr>
        <w:pStyle w:val="Heading1"/>
        <w:ind w:left="567" w:hanging="567"/>
      </w:pPr>
      <w:r>
        <w:t xml:space="preserve">4. </w:t>
      </w:r>
      <w:r>
        <w:tab/>
        <w:t>References</w:t>
      </w:r>
    </w:p>
    <w:p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 xml:space="preserve">3GPP TS 38.101-1: "NR; User Equipment (UE) radio transmission and reception; Part 1: Range 1, Standalone", </w:t>
      </w:r>
      <w:proofErr w:type="gramStart"/>
      <w:r>
        <w:t>Revision  V15.14.0</w:t>
      </w:r>
      <w:proofErr w:type="gramEnd"/>
      <w:r>
        <w:t xml:space="preserve"> (2021-06)</w:t>
      </w:r>
    </w:p>
    <w:p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 xml:space="preserve">3GPP TS 38.101-1: "NR; User Equipment (UE) radio transmission and reception; Part 1: Range 1, Standalone", </w:t>
      </w:r>
      <w:proofErr w:type="gramStart"/>
      <w:r>
        <w:t>Revision  V16.8.0</w:t>
      </w:r>
      <w:proofErr w:type="gramEnd"/>
      <w:r>
        <w:t xml:space="preserve"> (2021-06)</w:t>
      </w:r>
    </w:p>
    <w:p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>
        <w:t>3GPP TS 38.521-1:" User Equipment (UE) conformance specification; Radio transmission and reception; Part 1: Range 1 Standalone.</w:t>
      </w:r>
    </w:p>
    <w:p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p>
      <w:pPr>
        <w:rPr>
          <w:noProof/>
        </w:rPr>
      </w:pPr>
    </w:p>
    <w:sectPr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514F33"/>
    <w:multiLevelType w:val="hybridMultilevel"/>
    <w:tmpl w:val="4D30BB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65EE5"/>
    <w:multiLevelType w:val="hybridMultilevel"/>
    <w:tmpl w:val="89E491F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3C3214DE"/>
    <w:multiLevelType w:val="hybridMultilevel"/>
    <w:tmpl w:val="7E2A9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C008C1"/>
    <w:multiLevelType w:val="hybridMultilevel"/>
    <w:tmpl w:val="AB42730E"/>
    <w:lvl w:ilvl="0" w:tplc="04090019">
      <w:start w:val="1"/>
      <w:numFmt w:val="lowerLetter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4B303D75"/>
    <w:multiLevelType w:val="hybridMultilevel"/>
    <w:tmpl w:val="DBD29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DE7251"/>
    <w:multiLevelType w:val="hybridMultilevel"/>
    <w:tmpl w:val="AF8C132E"/>
    <w:lvl w:ilvl="0" w:tplc="137028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6CCD8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421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FCCC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B445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4E08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847A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7CE0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C2B6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B6541F1"/>
    <w:multiLevelType w:val="hybridMultilevel"/>
    <w:tmpl w:val="AB42730E"/>
    <w:lvl w:ilvl="0" w:tplc="04090019">
      <w:start w:val="1"/>
      <w:numFmt w:val="lowerLetter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EE8640E2-42A6-4515-96DF-9C1D86EE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rFonts w:eastAsia="Malgun Gothic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Pr>
      <w:rFonts w:ascii="Times New Roman" w:eastAsia="Malgun Gothic" w:hAnsi="Times New Roman"/>
      <w:b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0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309">
          <w:marLeft w:val="152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3166">
          <w:marLeft w:val="152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D2B5A-6331-4EFE-9540-ACF7D72F9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974</Words>
  <Characters>5555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Kevin Wang (QMC)</cp:lastModifiedBy>
  <cp:revision>2</cp:revision>
  <cp:lastPrinted>1900-01-01T08:00:00Z</cp:lastPrinted>
  <dcterms:created xsi:type="dcterms:W3CDTF">2021-08-25T18:01:00Z</dcterms:created>
  <dcterms:modified xsi:type="dcterms:W3CDTF">2021-08-25T18:01:00Z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